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28" w:rsidRPr="00FD7928" w:rsidRDefault="00FD7928" w:rsidP="00FD7928">
      <w:pPr>
        <w:shd w:val="clear" w:color="auto" w:fill="FFFFFF"/>
        <w:spacing w:before="300" w:after="150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4B4B4B"/>
          <w:sz w:val="36"/>
          <w:szCs w:val="36"/>
          <w:lang w:eastAsia="ru-RU"/>
        </w:rPr>
      </w:pPr>
      <w:r w:rsidRPr="00FD7928">
        <w:rPr>
          <w:rFonts w:ascii="Myriad Pro" w:eastAsia="Times New Roman" w:hAnsi="Myriad Pro" w:cs="Times New Roman"/>
          <w:b/>
          <w:bCs/>
          <w:color w:val="4B4B4B"/>
          <w:sz w:val="36"/>
          <w:szCs w:val="36"/>
          <w:lang w:eastAsia="ru-RU"/>
        </w:rPr>
        <w:t>Правила</w:t>
      </w:r>
      <w:r w:rsidRPr="00FD7928">
        <w:rPr>
          <w:rFonts w:ascii="Myriad Pro" w:eastAsia="Times New Roman" w:hAnsi="Myriad Pro" w:cs="Times New Roman"/>
          <w:b/>
          <w:bCs/>
          <w:color w:val="4B4B4B"/>
          <w:sz w:val="36"/>
          <w:szCs w:val="36"/>
          <w:lang w:eastAsia="ru-RU"/>
        </w:rPr>
        <w:br/>
        <w:t xml:space="preserve"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</w:t>
      </w:r>
      <w:proofErr w:type="gramStart"/>
      <w:r w:rsidRPr="00FD7928">
        <w:rPr>
          <w:rFonts w:ascii="Myriad Pro" w:eastAsia="Times New Roman" w:hAnsi="Myriad Pro" w:cs="Times New Roman"/>
          <w:b/>
          <w:bCs/>
          <w:color w:val="4B4B4B"/>
          <w:sz w:val="36"/>
          <w:szCs w:val="36"/>
          <w:lang w:eastAsia="ru-RU"/>
        </w:rPr>
        <w:t>Федерации</w:t>
      </w:r>
      <w:r w:rsidRPr="00FD7928">
        <w:rPr>
          <w:rFonts w:ascii="Myriad Pro" w:eastAsia="Times New Roman" w:hAnsi="Myriad Pro" w:cs="Times New Roman"/>
          <w:b/>
          <w:bCs/>
          <w:color w:val="4B4B4B"/>
          <w:sz w:val="36"/>
          <w:szCs w:val="36"/>
          <w:lang w:eastAsia="ru-RU"/>
        </w:rPr>
        <w:br/>
        <w:t>(</w:t>
      </w:r>
      <w:proofErr w:type="gramEnd"/>
      <w:r w:rsidRPr="00FD7928">
        <w:rPr>
          <w:rFonts w:ascii="Myriad Pro" w:eastAsia="Times New Roman" w:hAnsi="Myriad Pro" w:cs="Times New Roman"/>
          <w:b/>
          <w:bCs/>
          <w:color w:val="4B4B4B"/>
          <w:sz w:val="36"/>
          <w:szCs w:val="36"/>
          <w:lang w:eastAsia="ru-RU"/>
        </w:rPr>
        <w:t>утв. </w:t>
      </w:r>
      <w:hyperlink r:id="rId5" w:anchor="sub_0" w:history="1">
        <w:r w:rsidRPr="00FD7928">
          <w:rPr>
            <w:rFonts w:ascii="Myriad Pro" w:eastAsia="Times New Roman" w:hAnsi="Myriad Pro" w:cs="Times New Roman"/>
            <w:b/>
            <w:bCs/>
            <w:color w:val="428BCA"/>
            <w:sz w:val="36"/>
            <w:szCs w:val="36"/>
            <w:lang w:eastAsia="ru-RU"/>
          </w:rPr>
          <w:t>постановлением</w:t>
        </w:r>
      </w:hyperlink>
      <w:r w:rsidRPr="00FD7928">
        <w:rPr>
          <w:rFonts w:ascii="Myriad Pro" w:eastAsia="Times New Roman" w:hAnsi="Myriad Pro" w:cs="Times New Roman"/>
          <w:b/>
          <w:bCs/>
          <w:color w:val="4B4B4B"/>
          <w:sz w:val="36"/>
          <w:szCs w:val="36"/>
          <w:lang w:eastAsia="ru-RU"/>
        </w:rPr>
        <w:t> Правительства РФ от 19 мая 2009 г. N 432)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Организации для детей-сирот и детей, оставшихся без попечения родителей, вправе осуществлять временную передачу детей в семьи граждан (в период каникул, выходных или нерабочих праздничных дней и в иных случаях). Временная передача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интересов. Срок временного пребывания ребенка (детей) в семье гражданина не может превышать 3 месяцев.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При подборе семьи гражданина для конкретного ребенка (детей), определении длительности периодов и сроков его пребывания в семье учитывается пожелание ребенка (детей).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получения заключения на временную передачу детей необходимо обращаться в отдел опеки и попечительства по месту жительства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Перечень документов, необходимых для получения разрешения на временную передачу ребенка, находящегося в организациях для детей-сирот и детей, оставшихся без попечения родителей:</w:t>
      </w:r>
    </w:p>
    <w:p w:rsidR="00FD7928" w:rsidRPr="00FD7928" w:rsidRDefault="00FD7928" w:rsidP="00FD7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Заявление о выдаче заключения органа опеки и попечительства о возможности временной передачи ребенка (детей) в семью.</w:t>
      </w:r>
    </w:p>
    <w:p w:rsidR="00FD7928" w:rsidRPr="00FD7928" w:rsidRDefault="00FD7928" w:rsidP="00FD7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Копия паспорта или иного документа, удостоверяющего личность (с предъявлением оригинала).</w:t>
      </w:r>
    </w:p>
    <w:p w:rsidR="00FD7928" w:rsidRPr="00FD7928" w:rsidRDefault="00FD7928" w:rsidP="00FD7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 (форма № 164/у), действительно в течении 6 месяцев.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Кроме вышеперечисленных документов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профессиональной деятельности, прохождении программ подготовки кандидатов в опекуны или попечителя.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а) лиц, признанных судом недееспособными или ограниченно дееспособными;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б) лиц, лишенных по суду родительских прав или ограниченных в родительских правах;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в) бывших усыновителей, если усыновление отменено судом по их вине;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ж) лиц, не имеющих постоянного места жительства на территории Российской Федерации.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 Заключение о возможности временной передачи ребенка (детей) в семью гражданина действительно в течение 2 лет со дня его подписания.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</w:t>
      </w:r>
      <w:r w:rsidRPr="00FD792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  Передача ребенка (детей) в семью гражданина не допускается, если: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FD7928" w:rsidRPr="00FD7928" w:rsidRDefault="00FD7928" w:rsidP="00FD79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D792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родителей.</w:t>
      </w:r>
    </w:p>
    <w:p w:rsidR="00AA0B00" w:rsidRDefault="00AA0B00">
      <w:bookmarkStart w:id="0" w:name="_GoBack"/>
      <w:bookmarkEnd w:id="0"/>
    </w:p>
    <w:sectPr w:rsidR="00AA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50FB"/>
    <w:multiLevelType w:val="multilevel"/>
    <w:tmpl w:val="C7A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28"/>
    <w:rsid w:val="00AA0B00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BBD6-6B30-4780-A010-5345518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79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sp22.msp.midural.ru/deyatelnost07/opeka-i-popechitelstvox07/pravila-vremennoy-peredachi-det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ЯН</dc:creator>
  <cp:keywords/>
  <dc:description/>
  <cp:lastModifiedBy>Зайцева ЯН</cp:lastModifiedBy>
  <cp:revision>2</cp:revision>
  <dcterms:created xsi:type="dcterms:W3CDTF">2023-10-25T00:08:00Z</dcterms:created>
  <dcterms:modified xsi:type="dcterms:W3CDTF">2023-10-25T00:08:00Z</dcterms:modified>
</cp:coreProperties>
</file>